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86948" w:rsidRDefault="00386948" w:rsidP="00386948">
      <w:pPr>
        <w:spacing w:line="480" w:lineRule="auto"/>
        <w:jc w:val="both"/>
        <w:rPr>
          <w:rFonts w:cs="Calibri"/>
          <w:sz w:val="24"/>
          <w:szCs w:val="24"/>
        </w:rPr>
      </w:pPr>
    </w:p>
    <w:p w:rsidR="00FA4E4D" w:rsidRDefault="00FA4E4D" w:rsidP="00E119EC">
      <w:pPr>
        <w:spacing w:line="480" w:lineRule="auto"/>
        <w:jc w:val="center"/>
        <w:rPr>
          <w:rFonts w:cs="Calibri"/>
          <w:sz w:val="24"/>
          <w:szCs w:val="24"/>
        </w:rPr>
      </w:pPr>
      <w:r>
        <w:rPr>
          <w:rFonts w:cs="Calibri"/>
          <w:sz w:val="24"/>
          <w:szCs w:val="24"/>
        </w:rPr>
        <w:t>Students name</w:t>
      </w:r>
    </w:p>
    <w:p w:rsidR="00FA4E4D" w:rsidRDefault="00FA4E4D" w:rsidP="00E119EC">
      <w:pPr>
        <w:spacing w:line="480" w:lineRule="auto"/>
        <w:jc w:val="center"/>
        <w:rPr>
          <w:rFonts w:cs="Calibri"/>
          <w:sz w:val="24"/>
          <w:szCs w:val="24"/>
        </w:rPr>
      </w:pPr>
      <w:r>
        <w:rPr>
          <w:rFonts w:cs="Calibri"/>
          <w:sz w:val="24"/>
          <w:szCs w:val="24"/>
        </w:rPr>
        <w:t>Institutional Affiliation</w:t>
      </w:r>
    </w:p>
    <w:p w:rsidR="00FA4E4D" w:rsidRDefault="00FA4E4D" w:rsidP="00E119EC">
      <w:pPr>
        <w:spacing w:line="480" w:lineRule="auto"/>
        <w:jc w:val="center"/>
        <w:rPr>
          <w:rFonts w:cs="Calibri"/>
          <w:sz w:val="24"/>
          <w:szCs w:val="24"/>
        </w:rPr>
      </w:pPr>
      <w:r>
        <w:rPr>
          <w:rFonts w:cs="Calibri"/>
          <w:sz w:val="24"/>
          <w:szCs w:val="24"/>
        </w:rPr>
        <w:t>Date</w:t>
      </w: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9C4DC8" w:rsidRPr="00F33254" w:rsidRDefault="00E119EC" w:rsidP="00386948">
      <w:pPr>
        <w:spacing w:line="480" w:lineRule="auto"/>
        <w:jc w:val="both"/>
        <w:rPr>
          <w:rFonts w:cs="Calibri"/>
          <w:sz w:val="24"/>
          <w:szCs w:val="24"/>
        </w:rPr>
      </w:pPr>
      <w:r w:rsidRPr="00F33254">
        <w:rPr>
          <w:rFonts w:cs="Calibri"/>
          <w:sz w:val="24"/>
          <w:szCs w:val="24"/>
        </w:rPr>
        <w:t>This year's taxable income was $161,300 this is after all the necessary deductions were made the gross income of 185,300.The standard deduction of $24000 was considered instead of the itemized deductions since the latter was the lower amount.</w:t>
      </w:r>
    </w:p>
    <w:p w:rsidR="009C4DC8" w:rsidRPr="00F33254" w:rsidRDefault="00E119EC" w:rsidP="00386948">
      <w:pPr>
        <w:spacing w:line="480" w:lineRule="auto"/>
        <w:jc w:val="both"/>
        <w:rPr>
          <w:rFonts w:cs="Calibri"/>
          <w:sz w:val="24"/>
          <w:szCs w:val="24"/>
        </w:rPr>
      </w:pPr>
      <w:r w:rsidRPr="00F33254">
        <w:rPr>
          <w:rFonts w:cs="Calibri"/>
          <w:sz w:val="24"/>
          <w:szCs w:val="24"/>
        </w:rPr>
        <w:t>Using itemized deductions instead of the standard deduction may no longer be the bestand effective strategy to get tax benefits and savings after the changes on the TCJA.this is because the TCJA doubled the standard deduction and restricted quite a number of itemized deductions in 2018 through 2025.The TCJA also did away with the "please" limitation on itemized deductions for the period.the tax savings capacity from itemized items was significantly reduced by the effects of the TCJA.(Gale,William G, 2018).You would increase the tax benefits by having more standardized deductions items than the itemized deductions items,this is because the allowances made from standardized deductions are more and would reduce the total taxable income.</w:t>
      </w:r>
    </w:p>
    <w:p w:rsidR="009C4DC8" w:rsidRPr="00F33254" w:rsidRDefault="00E119EC" w:rsidP="00386948">
      <w:pPr>
        <w:spacing w:line="480" w:lineRule="auto"/>
        <w:jc w:val="both"/>
        <w:rPr>
          <w:rFonts w:cs="Calibri"/>
          <w:sz w:val="24"/>
          <w:szCs w:val="24"/>
        </w:rPr>
      </w:pPr>
      <w:r w:rsidRPr="00F33254">
        <w:rPr>
          <w:rFonts w:cs="Calibri"/>
          <w:sz w:val="24"/>
          <w:szCs w:val="24"/>
        </w:rPr>
        <w:t>Given the three risk free investment option it would be advisable first to look at the income generated from each option then secondly look at the net income after the tax effect.The taxable corporate bond, high dividend stocks and municipal bond are subject to marginal tax rate, capital gain tax and zero tax respectively.The taxable corporate bond offer the highest income but given the tax deduction it would be advisable to invest in municipal bond which give the highest after tax income of $7000.The corporate bond incur an annual marginal tax and a capital gain tax later when sold at a profit.The high dividend stocks are a qualified dividend and therefore attract a 15% capital gain tax.</w:t>
      </w:r>
    </w:p>
    <w:p w:rsidR="009C4DC8" w:rsidRPr="00F33254" w:rsidRDefault="00E119EC" w:rsidP="00386948">
      <w:pPr>
        <w:spacing w:line="480" w:lineRule="auto"/>
        <w:jc w:val="both"/>
        <w:rPr>
          <w:rFonts w:cs="Calibri"/>
          <w:sz w:val="24"/>
          <w:szCs w:val="24"/>
        </w:rPr>
      </w:pPr>
      <w:r w:rsidRPr="00F33254">
        <w:rPr>
          <w:rFonts w:cs="Calibri"/>
          <w:sz w:val="24"/>
          <w:szCs w:val="24"/>
        </w:rPr>
        <w:lastRenderedPageBreak/>
        <w:t>A conversation tax planning strategy is meant to increase tax savings by letting the qualified funds to be converted from fully taxable to fully tax free both at distribution.</w:t>
      </w:r>
    </w:p>
    <w:p w:rsidR="009C4DC8" w:rsidRPr="00F33254" w:rsidRDefault="00E119EC" w:rsidP="00386948">
      <w:pPr>
        <w:spacing w:line="480" w:lineRule="auto"/>
        <w:jc w:val="both"/>
        <w:rPr>
          <w:rFonts w:cs="Calibri"/>
          <w:sz w:val="24"/>
          <w:szCs w:val="24"/>
        </w:rPr>
      </w:pPr>
      <w:r w:rsidRPr="00F33254">
        <w:rPr>
          <w:rFonts w:cs="Calibri"/>
          <w:sz w:val="24"/>
          <w:szCs w:val="24"/>
        </w:rPr>
        <w:t>If you buy a vacation home it should be noted that the mortgage is deductible within the same limits as the interest on your first home. You can as well deduct property taxes paid however this may be subject to a limit of $10,000 per tax return. If you decide to rent place as has been suggested then it depends on the number of days rented.For days fewer than 14 you can enjoy the rent income tax free,this is not the case if it is more than 14 days.Beyond 14 days,rental expenses ought to be deducted and allocating cost between the time used for personal use and renting is required. If by chance later you consider selling the vacation home then it would be wiser to make it the principal residence before selling so as to enjoy a tax free profit.</w:t>
      </w: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386948" w:rsidRDefault="00386948" w:rsidP="00386948">
      <w:pPr>
        <w:spacing w:line="480" w:lineRule="auto"/>
        <w:jc w:val="both"/>
        <w:rPr>
          <w:rFonts w:cs="Calibri"/>
          <w:sz w:val="24"/>
          <w:szCs w:val="24"/>
        </w:rPr>
      </w:pPr>
    </w:p>
    <w:p w:rsidR="009C4DC8" w:rsidRPr="00F33254" w:rsidRDefault="00E119EC" w:rsidP="00386948">
      <w:pPr>
        <w:spacing w:line="480" w:lineRule="auto"/>
        <w:jc w:val="both"/>
        <w:rPr>
          <w:rFonts w:cs="Calibri"/>
          <w:sz w:val="24"/>
          <w:szCs w:val="24"/>
        </w:rPr>
      </w:pPr>
      <w:r w:rsidRPr="00F33254">
        <w:rPr>
          <w:rFonts w:cs="Calibri"/>
          <w:sz w:val="24"/>
          <w:szCs w:val="24"/>
        </w:rPr>
        <w:t>Reference:</w:t>
      </w:r>
    </w:p>
    <w:p w:rsidR="009C4DC8" w:rsidRPr="00F33254" w:rsidRDefault="00E119EC" w:rsidP="00386948">
      <w:pPr>
        <w:spacing w:line="480" w:lineRule="auto"/>
        <w:jc w:val="both"/>
        <w:rPr>
          <w:rFonts w:cs="Calibri"/>
          <w:sz w:val="24"/>
          <w:szCs w:val="24"/>
        </w:rPr>
      </w:pPr>
      <w:r w:rsidRPr="00F33254">
        <w:rPr>
          <w:rFonts w:cs="Calibri"/>
          <w:sz w:val="24"/>
          <w:szCs w:val="24"/>
        </w:rPr>
        <w:t>Gale, William G., Hilary Gelfond, Aaron Krupkin, Mark J. Mazur, and Eric Toder. 2018.    “Effects of the Tax Cut and Jobs Act: A Preliminary Analysis.”</w:t>
      </w:r>
    </w:p>
    <w:p w:rsidR="009C4DC8" w:rsidRPr="00F33254" w:rsidRDefault="00E119EC" w:rsidP="00386948">
      <w:pPr>
        <w:spacing w:line="480" w:lineRule="auto"/>
        <w:jc w:val="both"/>
        <w:rPr>
          <w:rFonts w:cs="Calibri"/>
          <w:sz w:val="24"/>
          <w:szCs w:val="24"/>
        </w:rPr>
      </w:pPr>
      <w:r w:rsidRPr="00F33254">
        <w:rPr>
          <w:rStyle w:val="Hyperlink"/>
          <w:rFonts w:cs="Calibri"/>
          <w:sz w:val="24"/>
          <w:szCs w:val="24"/>
        </w:rPr>
        <w:t>https://www.taxnotes.com/tax-notes-federal/tax-policy/taxation-and-valuation/2019/08/12/29rhn</w:t>
      </w:r>
    </w:p>
    <w:p w:rsidR="009C4DC8" w:rsidRPr="00F33254" w:rsidRDefault="00E119EC" w:rsidP="00386948">
      <w:pPr>
        <w:spacing w:line="480" w:lineRule="auto"/>
        <w:jc w:val="both"/>
        <w:rPr>
          <w:rFonts w:cs="Calibri"/>
          <w:sz w:val="24"/>
          <w:szCs w:val="24"/>
        </w:rPr>
      </w:pPr>
      <w:r w:rsidRPr="00F33254">
        <w:rPr>
          <w:rFonts w:hAnsi="Roboto" w:cs="Calibri"/>
          <w:color w:val="202122"/>
          <w:sz w:val="24"/>
          <w:szCs w:val="24"/>
          <w:shd w:val="clear" w:color="FFFFFF" w:fill="FFFFFF"/>
        </w:rPr>
        <w:t xml:space="preserve">Lanfeng Kao &amp; Anlin Chen (2011): </w:t>
      </w:r>
      <w:r w:rsidRPr="00F33254">
        <w:rPr>
          <w:rFonts w:hAnsi="Roboto" w:cs="Calibri"/>
          <w:i/>
          <w:color w:val="202122"/>
          <w:sz w:val="24"/>
          <w:szCs w:val="24"/>
          <w:shd w:val="clear" w:color="FFFFFF" w:fill="FFFFFF"/>
        </w:rPr>
        <w:t>Dividend policy and elimination of double taxation of dividends;</w:t>
      </w:r>
      <w:r w:rsidRPr="00F33254">
        <w:rPr>
          <w:rFonts w:hAnsi="Roboto" w:cs="Calibri"/>
          <w:color w:val="202122"/>
          <w:sz w:val="24"/>
          <w:szCs w:val="24"/>
          <w:shd w:val="clear" w:color="FFFFFF" w:fill="FFFFFF"/>
        </w:rPr>
        <w:t xml:space="preserve"> Asia-Pacific Journal of Financial Studies.</w:t>
      </w:r>
    </w:p>
    <w:p w:rsidR="009C4DC8" w:rsidRDefault="009C4DC8">
      <w:pPr>
        <w:rPr>
          <w:rFonts w:cs="Calibri"/>
          <w:sz w:val="24"/>
          <w:szCs w:val="24"/>
        </w:rPr>
      </w:pPr>
    </w:p>
    <w:sectPr w:rsidR="009C4D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17F" w:usb2="00000021" w:usb3="00000000" w:csb0="0000019F" w:csb1="00000000"/>
  </w:font>
  <w:font w:name="Cambria">
    <w:panose1 w:val="02040503050406030204"/>
    <w:charset w:val="00"/>
    <w:family w:val="roman"/>
    <w:notTrueType/>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DC8"/>
    <w:rsid w:val="00386948"/>
    <w:rsid w:val="00666AC3"/>
    <w:rsid w:val="00957865"/>
    <w:rsid w:val="009C4DC8"/>
    <w:rsid w:val="00E119EC"/>
    <w:rsid w:val="00F33254"/>
    <w:rsid w:val="00FA4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91486736-597A-EA43-AB4A-9E000C157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spacing w:after="0" w:line="360" w:lineRule="auto"/>
      <w:ind w:left="720"/>
    </w:pPr>
    <w:rPr>
      <w:rFonts w:ascii="Times New Roman" w:hAnsi="Times New Roman"/>
      <w:sz w:val="21"/>
    </w:rPr>
  </w:style>
  <w:style w:type="character" w:styleId="Hyperlink">
    <w:name w:val="Hyperlink"/>
    <w:basedOn w:val="DefaultParagraphFon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ODUOR</dc:creator>
  <cp:lastModifiedBy>254716226303</cp:lastModifiedBy>
  <cp:revision>2</cp:revision>
  <dcterms:created xsi:type="dcterms:W3CDTF">2020-08-28T01:28:00Z</dcterms:created>
  <dcterms:modified xsi:type="dcterms:W3CDTF">2020-08-28T01:28:00Z</dcterms:modified>
</cp:coreProperties>
</file>